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62" w:type="pct"/>
        <w:jc w:val="center"/>
        <w:tblInd w:w="-111" w:type="dxa"/>
        <w:tblCellMar>
          <w:top w:w="29" w:type="dxa"/>
          <w:left w:w="29" w:type="dxa"/>
          <w:bottom w:w="29" w:type="dxa"/>
          <w:right w:w="29" w:type="dxa"/>
        </w:tblCellMar>
        <w:tblLook w:val="04A0" w:firstRow="1" w:lastRow="0" w:firstColumn="1" w:lastColumn="0" w:noHBand="0" w:noVBand="1"/>
      </w:tblPr>
      <w:tblGrid>
        <w:gridCol w:w="3180"/>
        <w:gridCol w:w="3400"/>
        <w:gridCol w:w="7901"/>
      </w:tblGrid>
      <w:tr w:rsidR="00E949FE" w:rsidRPr="00B42C8E" w:rsidTr="004C5318">
        <w:trPr>
          <w:trHeight w:val="317"/>
          <w:jc w:val="center"/>
        </w:trPr>
        <w:tc>
          <w:tcPr>
            <w:tcW w:w="5000" w:type="pct"/>
            <w:gridSpan w:val="3"/>
            <w:shd w:val="clear" w:color="auto" w:fill="D9D9D9" w:themeFill="background1" w:themeFillShade="D9"/>
            <w:vAlign w:val="center"/>
          </w:tcPr>
          <w:p w:rsidR="00E949FE" w:rsidRPr="00B42C8E" w:rsidRDefault="00E949FE" w:rsidP="00296A47">
            <w:pPr>
              <w:jc w:val="center"/>
              <w:rPr>
                <w:b/>
                <w:sz w:val="20"/>
                <w:szCs w:val="20"/>
              </w:rPr>
            </w:pPr>
            <w:r>
              <w:rPr>
                <w:b/>
                <w:sz w:val="20"/>
                <w:szCs w:val="20"/>
              </w:rPr>
              <w:t>Bayview Water &amp; Sewer District - Meeting Agenda</w:t>
            </w:r>
          </w:p>
        </w:tc>
      </w:tr>
      <w:tr w:rsidR="00E949FE" w:rsidRPr="00B42C8E" w:rsidTr="004C5318">
        <w:trPr>
          <w:trHeight w:val="1221"/>
          <w:jc w:val="center"/>
        </w:trPr>
        <w:tc>
          <w:tcPr>
            <w:tcW w:w="2272" w:type="pct"/>
            <w:gridSpan w:val="2"/>
            <w:vAlign w:val="center"/>
          </w:tcPr>
          <w:p w:rsidR="00E949FE" w:rsidRDefault="00E949FE" w:rsidP="00296A4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t xml:space="preserve">Wednesday, </w:t>
            </w:r>
            <w:r w:rsidR="0089685E">
              <w:rPr>
                <w:sz w:val="20"/>
                <w:szCs w:val="20"/>
              </w:rPr>
              <w:t>November 15</w:t>
            </w:r>
            <w:r>
              <w:rPr>
                <w:sz w:val="20"/>
                <w:szCs w:val="20"/>
              </w:rPr>
              <w:t>, 2017 - 3:00 P.M.</w:t>
            </w:r>
          </w:p>
          <w:p w:rsidR="00E949FE" w:rsidRDefault="00E949FE" w:rsidP="00296A47">
            <w:pPr>
              <w:tabs>
                <w:tab w:val="left" w:pos="1800"/>
              </w:tabs>
              <w:spacing w:after="60"/>
              <w:rPr>
                <w:sz w:val="20"/>
                <w:szCs w:val="20"/>
              </w:rPr>
            </w:pPr>
            <w:r w:rsidRPr="00FB6B7F">
              <w:rPr>
                <w:b/>
                <w:sz w:val="20"/>
                <w:szCs w:val="20"/>
              </w:rPr>
              <w:t>Location:</w:t>
            </w:r>
            <w:r>
              <w:rPr>
                <w:sz w:val="20"/>
                <w:szCs w:val="20"/>
              </w:rPr>
              <w:tab/>
              <w:t>Bayview Community Center</w:t>
            </w:r>
            <w:r w:rsidRPr="00B42C8E">
              <w:rPr>
                <w:sz w:val="20"/>
                <w:szCs w:val="20"/>
              </w:rPr>
              <w:tab/>
            </w:r>
          </w:p>
          <w:p w:rsidR="00E949FE" w:rsidRPr="00B42C8E" w:rsidRDefault="00E949FE" w:rsidP="00296A47">
            <w:pPr>
              <w:tabs>
                <w:tab w:val="left" w:pos="1800"/>
              </w:tabs>
              <w:spacing w:after="60"/>
              <w:rPr>
                <w:sz w:val="20"/>
                <w:szCs w:val="20"/>
              </w:rPr>
            </w:pPr>
            <w:r>
              <w:rPr>
                <w:sz w:val="20"/>
                <w:szCs w:val="20"/>
              </w:rPr>
              <w:t xml:space="preserve">                                20298 E. Perimeter Road, Bayview, ID 83803</w:t>
            </w:r>
          </w:p>
          <w:p w:rsidR="00E949FE" w:rsidRPr="007D78CA" w:rsidRDefault="00E949FE" w:rsidP="0089685E">
            <w:pPr>
              <w:tabs>
                <w:tab w:val="left" w:pos="1800"/>
              </w:tabs>
              <w:spacing w:after="60"/>
              <w:rPr>
                <w:sz w:val="20"/>
                <w:szCs w:val="20"/>
              </w:rPr>
            </w:pPr>
            <w:r>
              <w:rPr>
                <w:b/>
                <w:sz w:val="20"/>
                <w:szCs w:val="20"/>
              </w:rPr>
              <w:t>Next Scheduled Meeting</w:t>
            </w:r>
            <w:r w:rsidRPr="00B42C8E">
              <w:rPr>
                <w:b/>
                <w:sz w:val="20"/>
                <w:szCs w:val="20"/>
              </w:rPr>
              <w:t>:</w:t>
            </w:r>
            <w:r w:rsidRPr="00B42C8E">
              <w:rPr>
                <w:sz w:val="20"/>
                <w:szCs w:val="20"/>
              </w:rPr>
              <w:tab/>
            </w:r>
            <w:r w:rsidR="0089685E">
              <w:rPr>
                <w:sz w:val="20"/>
                <w:szCs w:val="20"/>
              </w:rPr>
              <w:t>December 20</w:t>
            </w:r>
            <w:r>
              <w:rPr>
                <w:sz w:val="20"/>
                <w:szCs w:val="20"/>
              </w:rPr>
              <w:t>, 2017</w:t>
            </w:r>
          </w:p>
        </w:tc>
        <w:bookmarkStart w:id="0" w:name="Check1"/>
        <w:tc>
          <w:tcPr>
            <w:tcW w:w="2728"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0"/>
            <w:r>
              <w:rPr>
                <w:sz w:val="20"/>
                <w:szCs w:val="20"/>
              </w:rPr>
              <w:t xml:space="preserve">  Jan Jones     </w:t>
            </w:r>
            <w:bookmarkStart w:id="1" w:name="Check2"/>
            <w:r>
              <w:rPr>
                <w:sz w:val="20"/>
                <w:szCs w:val="20"/>
              </w:rPr>
              <w:t xml:space="preserve">                  </w:t>
            </w:r>
            <w:bookmarkEnd w:id="1"/>
            <w:r>
              <w:rPr>
                <w:sz w:val="20"/>
                <w:szCs w:val="20"/>
              </w:rPr>
              <w:fldChar w:fldCharType="begin">
                <w:ffData>
                  <w:name w:val=""/>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Richard Don</w:t>
            </w:r>
            <w:bookmarkStart w:id="2" w:name="Check7"/>
            <w:r>
              <w:rPr>
                <w:sz w:val="20"/>
                <w:szCs w:val="20"/>
              </w:rPr>
              <w:t>ey</w:t>
            </w:r>
            <w:bookmarkStart w:id="3" w:name="Check3"/>
            <w:bookmarkEnd w:id="2"/>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
            <w:r w:rsidRPr="00B42C8E">
              <w:rPr>
                <w:sz w:val="20"/>
                <w:szCs w:val="20"/>
              </w:rPr>
              <w:t xml:space="preserve">  </w:t>
            </w:r>
            <w:r>
              <w:rPr>
                <w:sz w:val="20"/>
                <w:szCs w:val="20"/>
              </w:rPr>
              <w:t>Sharon Meyer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00F521DA">
              <w:rPr>
                <w:sz w:val="20"/>
                <w:szCs w:val="20"/>
              </w:rPr>
              <w:t>Bob Kuchenski, Water Operator</w:t>
            </w:r>
          </w:p>
          <w:bookmarkStart w:id="5"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4C5318">
        <w:trPr>
          <w:trHeight w:val="150"/>
          <w:jc w:val="center"/>
        </w:trPr>
        <w:tc>
          <w:tcPr>
            <w:tcW w:w="2272" w:type="pct"/>
            <w:gridSpan w:val="2"/>
            <w:vAlign w:val="center"/>
          </w:tcPr>
          <w:p w:rsidR="00E949FE" w:rsidRPr="00B42C8E" w:rsidRDefault="00E949FE" w:rsidP="002D19DF">
            <w:pPr>
              <w:tabs>
                <w:tab w:val="left" w:pos="1800"/>
              </w:tabs>
              <w:spacing w:after="60"/>
              <w:rPr>
                <w:b/>
                <w:sz w:val="20"/>
                <w:szCs w:val="20"/>
              </w:rPr>
            </w:pPr>
            <w:r>
              <w:rPr>
                <w:b/>
                <w:sz w:val="20"/>
                <w:szCs w:val="20"/>
              </w:rPr>
              <w:t>Invited Guests:</w:t>
            </w:r>
            <w:r w:rsidR="002D19DF">
              <w:rPr>
                <w:b/>
                <w:sz w:val="20"/>
                <w:szCs w:val="20"/>
              </w:rPr>
              <w:t xml:space="preserve">   Innovate</w:t>
            </w:r>
            <w:r w:rsidR="009F048F">
              <w:rPr>
                <w:b/>
                <w:sz w:val="20"/>
                <w:szCs w:val="20"/>
              </w:rPr>
              <w:t xml:space="preserve"> Team</w:t>
            </w:r>
          </w:p>
        </w:tc>
        <w:tc>
          <w:tcPr>
            <w:tcW w:w="2728" w:type="pct"/>
          </w:tcPr>
          <w:p w:rsidR="00E949FE" w:rsidRDefault="00E949FE" w:rsidP="00296A47">
            <w:pPr>
              <w:tabs>
                <w:tab w:val="left" w:pos="2675"/>
                <w:tab w:val="left" w:pos="5462"/>
              </w:tabs>
              <w:ind w:firstLine="155"/>
              <w:rPr>
                <w:sz w:val="20"/>
                <w:szCs w:val="20"/>
              </w:rPr>
            </w:pPr>
          </w:p>
        </w:tc>
      </w:tr>
      <w:tr w:rsidR="00E949FE" w:rsidRPr="002F2557" w:rsidTr="004C5318">
        <w:tblPrEx>
          <w:tblCellMar>
            <w:top w:w="0" w:type="dxa"/>
            <w:left w:w="115" w:type="dxa"/>
            <w:bottom w:w="0" w:type="dxa"/>
            <w:right w:w="115" w:type="dxa"/>
          </w:tblCellMar>
        </w:tblPrEx>
        <w:trPr>
          <w:trHeight w:val="314"/>
          <w:tblHeader/>
          <w:jc w:val="center"/>
        </w:trPr>
        <w:tc>
          <w:tcPr>
            <w:tcW w:w="109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0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4C5318">
        <w:tblPrEx>
          <w:tblCellMar>
            <w:top w:w="0" w:type="dxa"/>
            <w:left w:w="115" w:type="dxa"/>
            <w:bottom w:w="0" w:type="dxa"/>
            <w:right w:w="115" w:type="dxa"/>
          </w:tblCellMar>
        </w:tblPrEx>
        <w:trPr>
          <w:trHeight w:val="935"/>
          <w:jc w:val="center"/>
        </w:trPr>
        <w:tc>
          <w:tcPr>
            <w:tcW w:w="109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0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89685E">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w:t>
            </w:r>
            <w:r w:rsidR="0089685E">
              <w:rPr>
                <w:rFonts w:cs="Arial"/>
                <w:sz w:val="20"/>
                <w:szCs w:val="20"/>
              </w:rPr>
              <w:t>October 18</w:t>
            </w:r>
            <w:r w:rsidR="009F048F">
              <w:rPr>
                <w:rFonts w:cs="Arial"/>
                <w:sz w:val="20"/>
                <w:szCs w:val="20"/>
              </w:rPr>
              <w:t xml:space="preserve"> &amp; 25,</w:t>
            </w:r>
            <w:r>
              <w:rPr>
                <w:rFonts w:cs="Arial"/>
                <w:sz w:val="20"/>
                <w:szCs w:val="20"/>
              </w:rPr>
              <w:t xml:space="preserve"> 2017 minutes</w:t>
            </w:r>
            <w:r w:rsidR="009F048F">
              <w:rPr>
                <w:rFonts w:cs="Arial"/>
                <w:sz w:val="20"/>
                <w:szCs w:val="20"/>
              </w:rPr>
              <w:t xml:space="preserve"> as well as the November 2, 2017 minutes</w:t>
            </w:r>
          </w:p>
        </w:tc>
      </w:tr>
      <w:tr w:rsidR="00E949FE" w:rsidRPr="002F2557" w:rsidTr="004C5318">
        <w:tblPrEx>
          <w:tblCellMar>
            <w:top w:w="0" w:type="dxa"/>
            <w:left w:w="115" w:type="dxa"/>
            <w:bottom w:w="0" w:type="dxa"/>
            <w:right w:w="115" w:type="dxa"/>
          </w:tblCellMar>
        </w:tblPrEx>
        <w:trPr>
          <w:trHeight w:val="1007"/>
          <w:jc w:val="center"/>
        </w:trPr>
        <w:tc>
          <w:tcPr>
            <w:tcW w:w="109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0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4C5318">
        <w:tblPrEx>
          <w:tblCellMar>
            <w:top w:w="0" w:type="dxa"/>
            <w:left w:w="115" w:type="dxa"/>
            <w:bottom w:w="0" w:type="dxa"/>
            <w:right w:w="115" w:type="dxa"/>
          </w:tblCellMar>
        </w:tblPrEx>
        <w:trPr>
          <w:trHeight w:val="1385"/>
          <w:jc w:val="center"/>
        </w:trPr>
        <w:tc>
          <w:tcPr>
            <w:tcW w:w="109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20"/>
                <w:szCs w:val="20"/>
              </w:rPr>
            </w:pPr>
          </w:p>
        </w:tc>
        <w:tc>
          <w:tcPr>
            <w:tcW w:w="3902" w:type="pct"/>
            <w:gridSpan w:val="2"/>
            <w:shd w:val="clear" w:color="auto" w:fill="auto"/>
          </w:tcPr>
          <w:p w:rsidR="00495B7D" w:rsidRPr="009043E9" w:rsidRDefault="00495B7D" w:rsidP="00296A47">
            <w:pPr>
              <w:pStyle w:val="ListParagraph"/>
              <w:ind w:left="65"/>
              <w:jc w:val="both"/>
              <w:rPr>
                <w:rFonts w:cs="Arial"/>
                <w:sz w:val="20"/>
                <w:szCs w:val="20"/>
              </w:rPr>
            </w:pPr>
          </w:p>
        </w:tc>
      </w:tr>
      <w:tr w:rsidR="00E949FE" w:rsidRPr="002F2557" w:rsidTr="004C5318">
        <w:tblPrEx>
          <w:tblCellMar>
            <w:top w:w="0" w:type="dxa"/>
            <w:left w:w="115" w:type="dxa"/>
            <w:bottom w:w="0" w:type="dxa"/>
            <w:right w:w="115" w:type="dxa"/>
          </w:tblCellMar>
        </w:tblPrEx>
        <w:trPr>
          <w:trHeight w:val="818"/>
          <w:jc w:val="center"/>
        </w:trPr>
        <w:tc>
          <w:tcPr>
            <w:tcW w:w="1098" w:type="pct"/>
            <w:shd w:val="clear" w:color="auto" w:fill="auto"/>
            <w:vAlign w:val="center"/>
          </w:tcPr>
          <w:p w:rsidR="00495B7D" w:rsidRDefault="00495B7D" w:rsidP="00296A47">
            <w:pPr>
              <w:rPr>
                <w:rFonts w:cs="Arial"/>
                <w:b/>
                <w:sz w:val="20"/>
                <w:szCs w:val="20"/>
              </w:rPr>
            </w:pPr>
          </w:p>
          <w:p w:rsidR="00E949FE" w:rsidRDefault="00E949FE" w:rsidP="00296A47">
            <w:pPr>
              <w:rPr>
                <w:rFonts w:cs="Arial"/>
                <w:b/>
                <w:sz w:val="20"/>
                <w:szCs w:val="20"/>
              </w:rPr>
            </w:pPr>
            <w:r>
              <w:rPr>
                <w:rFonts w:cs="Arial"/>
                <w:b/>
                <w:sz w:val="20"/>
                <w:szCs w:val="20"/>
              </w:rPr>
              <w:t xml:space="preserve">Public Matters </w:t>
            </w:r>
          </w:p>
          <w:p w:rsidR="00E949FE" w:rsidRDefault="00E949FE" w:rsidP="00296A47">
            <w:pPr>
              <w:rPr>
                <w:rFonts w:cs="Arial"/>
                <w:b/>
                <w:sz w:val="20"/>
                <w:szCs w:val="20"/>
              </w:rPr>
            </w:pPr>
          </w:p>
          <w:p w:rsidR="006A25CC" w:rsidRDefault="00E8330B" w:rsidP="00B45DB4">
            <w:pPr>
              <w:pStyle w:val="ListParagraph"/>
              <w:numPr>
                <w:ilvl w:val="0"/>
                <w:numId w:val="3"/>
              </w:numPr>
              <w:ind w:left="420"/>
              <w:rPr>
                <w:rFonts w:cs="Arial"/>
                <w:b/>
                <w:sz w:val="20"/>
                <w:szCs w:val="20"/>
              </w:rPr>
            </w:pPr>
            <w:r>
              <w:rPr>
                <w:rFonts w:cs="Arial"/>
                <w:b/>
                <w:sz w:val="20"/>
                <w:szCs w:val="20"/>
              </w:rPr>
              <w:t>Pat Bennett #5032 – Water Leak forgiveness</w:t>
            </w:r>
          </w:p>
          <w:p w:rsidR="003828F5" w:rsidRDefault="003828F5" w:rsidP="003828F5">
            <w:pPr>
              <w:pStyle w:val="ListParagraph"/>
              <w:ind w:left="420"/>
              <w:rPr>
                <w:rFonts w:cs="Arial"/>
                <w:b/>
                <w:sz w:val="20"/>
                <w:szCs w:val="20"/>
              </w:rPr>
            </w:pPr>
          </w:p>
          <w:p w:rsidR="00495B7D" w:rsidRPr="00495B7D" w:rsidRDefault="00495B7D" w:rsidP="008030AE">
            <w:pPr>
              <w:pStyle w:val="ListParagraph"/>
              <w:ind w:left="420"/>
              <w:rPr>
                <w:rFonts w:cs="Arial"/>
                <w:b/>
                <w:sz w:val="20"/>
                <w:szCs w:val="20"/>
              </w:rPr>
            </w:pPr>
          </w:p>
        </w:tc>
        <w:tc>
          <w:tcPr>
            <w:tcW w:w="3902" w:type="pct"/>
            <w:gridSpan w:val="2"/>
            <w:shd w:val="clear" w:color="auto" w:fill="auto"/>
          </w:tcPr>
          <w:p w:rsidR="00E949FE" w:rsidRPr="009043E9" w:rsidRDefault="00E949FE" w:rsidP="00296A47">
            <w:pPr>
              <w:pStyle w:val="ListParagraph"/>
              <w:ind w:left="65"/>
              <w:jc w:val="both"/>
              <w:rPr>
                <w:rFonts w:cs="Arial"/>
                <w:sz w:val="20"/>
                <w:szCs w:val="20"/>
              </w:rPr>
            </w:pPr>
          </w:p>
        </w:tc>
      </w:tr>
      <w:tr w:rsidR="002D19DF" w:rsidRPr="002F2557" w:rsidTr="004C5318">
        <w:tblPrEx>
          <w:tblCellMar>
            <w:top w:w="0" w:type="dxa"/>
            <w:left w:w="115" w:type="dxa"/>
            <w:bottom w:w="0" w:type="dxa"/>
            <w:right w:w="115" w:type="dxa"/>
          </w:tblCellMar>
        </w:tblPrEx>
        <w:trPr>
          <w:trHeight w:val="818"/>
          <w:jc w:val="center"/>
        </w:trPr>
        <w:tc>
          <w:tcPr>
            <w:tcW w:w="1098" w:type="pct"/>
            <w:shd w:val="clear" w:color="auto" w:fill="auto"/>
            <w:vAlign w:val="center"/>
          </w:tcPr>
          <w:p w:rsidR="002D19DF" w:rsidRPr="00D86D3A" w:rsidRDefault="002D19DF" w:rsidP="002D19DF">
            <w:pPr>
              <w:spacing w:before="120"/>
              <w:rPr>
                <w:rFonts w:cs="Arial"/>
                <w:b/>
                <w:sz w:val="20"/>
                <w:szCs w:val="20"/>
              </w:rPr>
            </w:pPr>
            <w:r w:rsidRPr="002D19DF">
              <w:rPr>
                <w:rFonts w:cs="Arial"/>
                <w:b/>
                <w:sz w:val="24"/>
                <w:szCs w:val="24"/>
              </w:rPr>
              <w:t>Old/Ongoing Business</w:t>
            </w:r>
          </w:p>
          <w:p w:rsidR="002D19DF" w:rsidRPr="000D5891" w:rsidRDefault="002D19DF" w:rsidP="002D19DF">
            <w:pPr>
              <w:spacing w:line="360" w:lineRule="auto"/>
              <w:rPr>
                <w:rFonts w:cs="Arial"/>
                <w:b/>
                <w:sz w:val="20"/>
                <w:szCs w:val="20"/>
              </w:rPr>
            </w:pPr>
          </w:p>
          <w:p w:rsidR="002D19DF" w:rsidRDefault="002D19DF" w:rsidP="002D19DF">
            <w:pPr>
              <w:pStyle w:val="ListParagraph"/>
              <w:numPr>
                <w:ilvl w:val="0"/>
                <w:numId w:val="1"/>
              </w:numPr>
              <w:rPr>
                <w:rFonts w:cs="Arial"/>
                <w:b/>
                <w:sz w:val="20"/>
                <w:szCs w:val="20"/>
              </w:rPr>
            </w:pPr>
            <w:r>
              <w:rPr>
                <w:rFonts w:cs="Arial"/>
                <w:b/>
                <w:sz w:val="20"/>
                <w:szCs w:val="20"/>
              </w:rPr>
              <w:t>JUB Update/discussion</w:t>
            </w:r>
          </w:p>
          <w:p w:rsidR="002D19DF" w:rsidRPr="003828F5" w:rsidRDefault="002D19DF" w:rsidP="002D19DF">
            <w:pPr>
              <w:pStyle w:val="ListParagraph"/>
              <w:ind w:left="360"/>
              <w:rPr>
                <w:rFonts w:cs="Arial"/>
                <w:b/>
                <w:sz w:val="20"/>
                <w:szCs w:val="20"/>
              </w:rPr>
            </w:pPr>
          </w:p>
          <w:p w:rsidR="002D19DF" w:rsidRDefault="002D19DF" w:rsidP="002D19DF">
            <w:pPr>
              <w:pStyle w:val="ListParagraph"/>
              <w:numPr>
                <w:ilvl w:val="0"/>
                <w:numId w:val="1"/>
              </w:numPr>
              <w:rPr>
                <w:rFonts w:cs="Arial"/>
                <w:b/>
                <w:sz w:val="20"/>
                <w:szCs w:val="20"/>
              </w:rPr>
            </w:pPr>
            <w:r>
              <w:rPr>
                <w:rFonts w:cs="Arial"/>
                <w:b/>
                <w:sz w:val="20"/>
                <w:szCs w:val="20"/>
              </w:rPr>
              <w:t>Quarterly meetings – Date &amp; Times</w:t>
            </w:r>
          </w:p>
          <w:p w:rsidR="002D19DF" w:rsidRPr="003828F5" w:rsidRDefault="002D19DF" w:rsidP="002D19DF">
            <w:pPr>
              <w:rPr>
                <w:rFonts w:cs="Arial"/>
                <w:b/>
                <w:sz w:val="20"/>
                <w:szCs w:val="20"/>
              </w:rPr>
            </w:pPr>
          </w:p>
          <w:p w:rsidR="002D19DF" w:rsidRPr="002D19DF" w:rsidRDefault="002D19DF" w:rsidP="002D19DF">
            <w:pPr>
              <w:pStyle w:val="ListParagraph"/>
              <w:numPr>
                <w:ilvl w:val="0"/>
                <w:numId w:val="1"/>
              </w:numPr>
              <w:rPr>
                <w:rFonts w:cs="Arial"/>
                <w:b/>
                <w:sz w:val="20"/>
                <w:szCs w:val="20"/>
              </w:rPr>
            </w:pPr>
            <w:r w:rsidRPr="002D19DF">
              <w:rPr>
                <w:rFonts w:cs="Arial"/>
                <w:b/>
                <w:sz w:val="20"/>
                <w:szCs w:val="20"/>
              </w:rPr>
              <w:lastRenderedPageBreak/>
              <w:t>Operating Procedures Manual update</w:t>
            </w:r>
            <w:bookmarkStart w:id="6" w:name="_GoBack"/>
            <w:bookmarkEnd w:id="6"/>
          </w:p>
        </w:tc>
        <w:tc>
          <w:tcPr>
            <w:tcW w:w="3902" w:type="pct"/>
            <w:gridSpan w:val="2"/>
            <w:shd w:val="clear" w:color="auto" w:fill="auto"/>
          </w:tcPr>
          <w:p w:rsidR="002D19DF" w:rsidRPr="009043E9" w:rsidRDefault="002D19DF" w:rsidP="00296A47">
            <w:pPr>
              <w:pStyle w:val="ListParagraph"/>
              <w:ind w:left="65"/>
              <w:jc w:val="both"/>
              <w:rPr>
                <w:rFonts w:cs="Arial"/>
                <w:sz w:val="20"/>
                <w:szCs w:val="20"/>
              </w:rPr>
            </w:pPr>
          </w:p>
        </w:tc>
      </w:tr>
    </w:tbl>
    <w:tbl>
      <w:tblPr>
        <w:tblStyle w:val="TableGrid1"/>
        <w:tblW w:w="5520" w:type="pct"/>
        <w:tblInd w:w="-673" w:type="dxa"/>
        <w:tblCellMar>
          <w:left w:w="115" w:type="dxa"/>
          <w:right w:w="115" w:type="dxa"/>
        </w:tblCellMar>
        <w:tblLook w:val="04A0" w:firstRow="1" w:lastRow="0" w:firstColumn="1" w:lastColumn="0" w:noHBand="0" w:noVBand="1"/>
      </w:tblPr>
      <w:tblGrid>
        <w:gridCol w:w="3110"/>
        <w:gridCol w:w="11452"/>
      </w:tblGrid>
      <w:tr w:rsidR="00E949FE" w:rsidRPr="002F2557" w:rsidTr="002D19DF">
        <w:trPr>
          <w:trHeight w:val="4373"/>
        </w:trPr>
        <w:tc>
          <w:tcPr>
            <w:tcW w:w="1068" w:type="pct"/>
            <w:shd w:val="clear" w:color="auto" w:fill="auto"/>
            <w:vAlign w:val="center"/>
          </w:tcPr>
          <w:p w:rsidR="00E949FE" w:rsidRPr="002D19DF" w:rsidRDefault="00E949FE" w:rsidP="00296A47">
            <w:pPr>
              <w:rPr>
                <w:rFonts w:cs="Arial"/>
                <w:b/>
                <w:sz w:val="24"/>
                <w:szCs w:val="24"/>
              </w:rPr>
            </w:pPr>
            <w:r>
              <w:lastRenderedPageBreak/>
              <w:br w:type="page"/>
            </w:r>
            <w:r w:rsidRPr="002D19DF">
              <w:rPr>
                <w:rFonts w:cs="Arial"/>
                <w:b/>
                <w:sz w:val="24"/>
                <w:szCs w:val="24"/>
              </w:rPr>
              <w:t>New Business</w:t>
            </w:r>
          </w:p>
          <w:p w:rsidR="00E949FE" w:rsidRPr="007C68A2" w:rsidRDefault="00E949FE" w:rsidP="0058230F">
            <w:pPr>
              <w:spacing w:line="360" w:lineRule="auto"/>
              <w:rPr>
                <w:rFonts w:cs="Arial"/>
                <w:b/>
                <w:sz w:val="20"/>
                <w:szCs w:val="20"/>
              </w:rPr>
            </w:pPr>
          </w:p>
          <w:p w:rsidR="00E949FE" w:rsidRDefault="00390C89" w:rsidP="0039402F">
            <w:pPr>
              <w:pStyle w:val="ListParagraph"/>
              <w:numPr>
                <w:ilvl w:val="0"/>
                <w:numId w:val="6"/>
              </w:numPr>
              <w:spacing w:line="360" w:lineRule="auto"/>
              <w:ind w:left="330"/>
              <w:rPr>
                <w:rFonts w:cs="Arial"/>
                <w:b/>
                <w:sz w:val="20"/>
                <w:szCs w:val="20"/>
              </w:rPr>
            </w:pPr>
            <w:r>
              <w:rPr>
                <w:rFonts w:cs="Arial"/>
                <w:b/>
                <w:sz w:val="20"/>
                <w:szCs w:val="20"/>
              </w:rPr>
              <w:t>ER Reconciliation</w:t>
            </w:r>
          </w:p>
          <w:p w:rsidR="0039402F" w:rsidRDefault="0039402F" w:rsidP="0039402F">
            <w:pPr>
              <w:pStyle w:val="ListParagraph"/>
              <w:numPr>
                <w:ilvl w:val="0"/>
                <w:numId w:val="6"/>
              </w:numPr>
              <w:ind w:left="330"/>
              <w:rPr>
                <w:rFonts w:cs="Arial"/>
                <w:b/>
                <w:sz w:val="20"/>
                <w:szCs w:val="20"/>
              </w:rPr>
            </w:pPr>
            <w:r>
              <w:rPr>
                <w:rFonts w:cs="Arial"/>
                <w:b/>
                <w:sz w:val="20"/>
                <w:szCs w:val="20"/>
              </w:rPr>
              <w:t>Reflection Ridge – Paid water and sewer hookups 2007</w:t>
            </w:r>
          </w:p>
          <w:p w:rsidR="0039402F" w:rsidRDefault="0039402F" w:rsidP="0039402F">
            <w:pPr>
              <w:pStyle w:val="ListParagraph"/>
              <w:ind w:left="330"/>
              <w:rPr>
                <w:rFonts w:cs="Arial"/>
                <w:b/>
                <w:sz w:val="20"/>
                <w:szCs w:val="20"/>
              </w:rPr>
            </w:pPr>
          </w:p>
          <w:p w:rsidR="0058230F" w:rsidRDefault="005B7216" w:rsidP="0039402F">
            <w:pPr>
              <w:pStyle w:val="ListParagraph"/>
              <w:numPr>
                <w:ilvl w:val="0"/>
                <w:numId w:val="6"/>
              </w:numPr>
              <w:ind w:left="330"/>
              <w:rPr>
                <w:rFonts w:cs="Arial"/>
                <w:b/>
                <w:sz w:val="20"/>
                <w:szCs w:val="20"/>
              </w:rPr>
            </w:pPr>
            <w:r>
              <w:rPr>
                <w:rFonts w:cs="Arial"/>
                <w:b/>
                <w:sz w:val="20"/>
                <w:szCs w:val="20"/>
              </w:rPr>
              <w:t>Sewer Hookup(s)</w:t>
            </w:r>
          </w:p>
          <w:p w:rsidR="00CF531D" w:rsidRPr="00CF531D" w:rsidRDefault="00CF531D" w:rsidP="00CF531D">
            <w:pPr>
              <w:pStyle w:val="ListParagraph"/>
              <w:rPr>
                <w:rFonts w:cs="Arial"/>
                <w:b/>
                <w:sz w:val="20"/>
                <w:szCs w:val="20"/>
              </w:rPr>
            </w:pPr>
          </w:p>
          <w:p w:rsidR="00CF531D" w:rsidRDefault="005B7216" w:rsidP="0039402F">
            <w:pPr>
              <w:pStyle w:val="ListParagraph"/>
              <w:numPr>
                <w:ilvl w:val="0"/>
                <w:numId w:val="6"/>
              </w:numPr>
              <w:ind w:left="330"/>
              <w:rPr>
                <w:rFonts w:cs="Arial"/>
                <w:b/>
                <w:sz w:val="20"/>
                <w:szCs w:val="20"/>
              </w:rPr>
            </w:pPr>
            <w:r>
              <w:rPr>
                <w:rFonts w:cs="Arial"/>
                <w:b/>
                <w:sz w:val="20"/>
                <w:szCs w:val="20"/>
              </w:rPr>
              <w:t>Approve FYE16-17</w:t>
            </w:r>
            <w:r w:rsidR="00390C89">
              <w:rPr>
                <w:rFonts w:cs="Arial"/>
                <w:b/>
                <w:sz w:val="20"/>
                <w:szCs w:val="20"/>
              </w:rPr>
              <w:t xml:space="preserve"> audit</w:t>
            </w:r>
          </w:p>
          <w:p w:rsidR="00462FAA" w:rsidRPr="00462FAA" w:rsidRDefault="00462FAA" w:rsidP="00462FAA">
            <w:pPr>
              <w:pStyle w:val="ListParagraph"/>
              <w:rPr>
                <w:rFonts w:cs="Arial"/>
                <w:b/>
                <w:sz w:val="20"/>
                <w:szCs w:val="20"/>
              </w:rPr>
            </w:pPr>
          </w:p>
          <w:p w:rsidR="00462FAA" w:rsidRDefault="00A94302" w:rsidP="0039402F">
            <w:pPr>
              <w:pStyle w:val="ListParagraph"/>
              <w:numPr>
                <w:ilvl w:val="0"/>
                <w:numId w:val="6"/>
              </w:numPr>
              <w:ind w:left="330"/>
              <w:rPr>
                <w:rFonts w:cs="Arial"/>
                <w:b/>
                <w:sz w:val="20"/>
                <w:szCs w:val="20"/>
              </w:rPr>
            </w:pPr>
            <w:r>
              <w:rPr>
                <w:rFonts w:cs="Arial"/>
                <w:b/>
                <w:sz w:val="20"/>
                <w:szCs w:val="20"/>
              </w:rPr>
              <w:t>Resolution 2017-003</w:t>
            </w:r>
          </w:p>
          <w:p w:rsidR="00A94302" w:rsidRPr="00A94302" w:rsidRDefault="00A94302" w:rsidP="00A94302">
            <w:pPr>
              <w:pStyle w:val="ListParagraph"/>
              <w:rPr>
                <w:rFonts w:cs="Arial"/>
                <w:b/>
                <w:sz w:val="20"/>
                <w:szCs w:val="20"/>
              </w:rPr>
            </w:pPr>
          </w:p>
          <w:p w:rsidR="00A94302" w:rsidRDefault="00A94302" w:rsidP="00A94302">
            <w:pPr>
              <w:pStyle w:val="ListParagraph"/>
              <w:numPr>
                <w:ilvl w:val="0"/>
                <w:numId w:val="6"/>
              </w:numPr>
              <w:ind w:left="330"/>
              <w:rPr>
                <w:rFonts w:cs="Arial"/>
                <w:b/>
                <w:sz w:val="20"/>
                <w:szCs w:val="20"/>
              </w:rPr>
            </w:pPr>
            <w:r>
              <w:rPr>
                <w:rFonts w:cs="Arial"/>
                <w:b/>
                <w:sz w:val="20"/>
                <w:szCs w:val="20"/>
              </w:rPr>
              <w:t>Director Fees</w:t>
            </w:r>
          </w:p>
          <w:p w:rsidR="00CD754F" w:rsidRPr="00CD754F" w:rsidRDefault="00CD754F" w:rsidP="00CD754F">
            <w:pPr>
              <w:pStyle w:val="ListParagraph"/>
              <w:rPr>
                <w:rFonts w:cs="Arial"/>
                <w:b/>
                <w:sz w:val="20"/>
                <w:szCs w:val="20"/>
              </w:rPr>
            </w:pPr>
          </w:p>
          <w:p w:rsidR="00CD754F" w:rsidRPr="00A94302" w:rsidRDefault="00CD754F" w:rsidP="00A94302">
            <w:pPr>
              <w:pStyle w:val="ListParagraph"/>
              <w:numPr>
                <w:ilvl w:val="0"/>
                <w:numId w:val="6"/>
              </w:numPr>
              <w:ind w:left="330"/>
              <w:rPr>
                <w:rFonts w:cs="Arial"/>
                <w:b/>
                <w:sz w:val="20"/>
                <w:szCs w:val="20"/>
              </w:rPr>
            </w:pPr>
            <w:r>
              <w:rPr>
                <w:rFonts w:cs="Arial"/>
                <w:b/>
                <w:sz w:val="20"/>
                <w:szCs w:val="20"/>
              </w:rPr>
              <w:t>December meeting?</w:t>
            </w: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2D19DF">
        <w:trPr>
          <w:trHeight w:val="1025"/>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E949FE" w:rsidRPr="002F2557" w:rsidTr="002D19DF">
        <w:trPr>
          <w:trHeight w:val="638"/>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4A" w:rsidRDefault="0032534A" w:rsidP="00E949FE">
      <w:r>
        <w:separator/>
      </w:r>
    </w:p>
  </w:endnote>
  <w:endnote w:type="continuationSeparator" w:id="0">
    <w:p w:rsidR="0032534A" w:rsidRDefault="0032534A"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4A" w:rsidRDefault="0032534A" w:rsidP="00E949FE">
      <w:r>
        <w:separator/>
      </w:r>
    </w:p>
  </w:footnote>
  <w:footnote w:type="continuationSeparator" w:id="0">
    <w:p w:rsidR="0032534A" w:rsidRDefault="0032534A" w:rsidP="00E94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E" w:rsidRDefault="00E949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7A"/>
    <w:multiLevelType w:val="hybridMultilevel"/>
    <w:tmpl w:val="2A321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E"/>
    <w:rsid w:val="00040C34"/>
    <w:rsid w:val="000504B7"/>
    <w:rsid w:val="00072101"/>
    <w:rsid w:val="000876BB"/>
    <w:rsid w:val="000D1846"/>
    <w:rsid w:val="00184E61"/>
    <w:rsid w:val="00197EA5"/>
    <w:rsid w:val="00210859"/>
    <w:rsid w:val="00234D03"/>
    <w:rsid w:val="0026186A"/>
    <w:rsid w:val="00263143"/>
    <w:rsid w:val="002C5174"/>
    <w:rsid w:val="002D19DF"/>
    <w:rsid w:val="00317547"/>
    <w:rsid w:val="0032534A"/>
    <w:rsid w:val="00377F67"/>
    <w:rsid w:val="003828F5"/>
    <w:rsid w:val="00390C89"/>
    <w:rsid w:val="0039402F"/>
    <w:rsid w:val="00451660"/>
    <w:rsid w:val="00462FAA"/>
    <w:rsid w:val="00495B7D"/>
    <w:rsid w:val="004C5318"/>
    <w:rsid w:val="004E1818"/>
    <w:rsid w:val="004F6C72"/>
    <w:rsid w:val="0058230F"/>
    <w:rsid w:val="005B7216"/>
    <w:rsid w:val="005F397A"/>
    <w:rsid w:val="00671D95"/>
    <w:rsid w:val="00680355"/>
    <w:rsid w:val="006909DE"/>
    <w:rsid w:val="006976E0"/>
    <w:rsid w:val="006A25CC"/>
    <w:rsid w:val="006B78B8"/>
    <w:rsid w:val="006D72BD"/>
    <w:rsid w:val="00721F13"/>
    <w:rsid w:val="007F396A"/>
    <w:rsid w:val="008030AE"/>
    <w:rsid w:val="00816C79"/>
    <w:rsid w:val="0089685E"/>
    <w:rsid w:val="00970357"/>
    <w:rsid w:val="00982216"/>
    <w:rsid w:val="009849B1"/>
    <w:rsid w:val="009F048F"/>
    <w:rsid w:val="00A94302"/>
    <w:rsid w:val="00B45DB4"/>
    <w:rsid w:val="00BC484D"/>
    <w:rsid w:val="00BC72F1"/>
    <w:rsid w:val="00BD100C"/>
    <w:rsid w:val="00CD754F"/>
    <w:rsid w:val="00CF531D"/>
    <w:rsid w:val="00D2715E"/>
    <w:rsid w:val="00D91AF2"/>
    <w:rsid w:val="00DC0171"/>
    <w:rsid w:val="00E14EA2"/>
    <w:rsid w:val="00E72A23"/>
    <w:rsid w:val="00E8330B"/>
    <w:rsid w:val="00E949FE"/>
    <w:rsid w:val="00E9654A"/>
    <w:rsid w:val="00EB2AEB"/>
    <w:rsid w:val="00EC6F76"/>
    <w:rsid w:val="00ED220E"/>
    <w:rsid w:val="00ED785E"/>
    <w:rsid w:val="00F521DA"/>
    <w:rsid w:val="00FA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Richard Doney</cp:lastModifiedBy>
  <cp:revision>2</cp:revision>
  <cp:lastPrinted>2017-11-10T22:24:00Z</cp:lastPrinted>
  <dcterms:created xsi:type="dcterms:W3CDTF">2017-11-10T22:25:00Z</dcterms:created>
  <dcterms:modified xsi:type="dcterms:W3CDTF">2017-11-10T22:25:00Z</dcterms:modified>
</cp:coreProperties>
</file>